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9B177B">
        <w:rPr>
          <w:b/>
          <w:sz w:val="24"/>
        </w:rPr>
        <w:t>A-2010-2201567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9B177B">
        <w:rPr>
          <w:sz w:val="24"/>
        </w:rPr>
        <w:t>Dash Energy,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</w:t>
      </w:r>
      <w:r w:rsidR="009B177B">
        <w:rPr>
          <w:sz w:val="24"/>
        </w:rPr>
        <w:t xml:space="preserve">supplier services as a broker/marketer </w:t>
      </w:r>
      <w:r w:rsidR="00497F27">
        <w:rPr>
          <w:sz w:val="24"/>
        </w:rPr>
        <w:t>o</w:t>
      </w:r>
      <w:r w:rsidR="009B177B">
        <w:rPr>
          <w:sz w:val="24"/>
        </w:rPr>
        <w:t>f electric power to the additional class of residential customers in the electric service territories throughout</w:t>
      </w:r>
      <w:r w:rsidR="00D44530">
        <w:rPr>
          <w:sz w:val="24"/>
        </w:rPr>
        <w:t xml:space="preserve">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9B177B">
        <w:rPr>
          <w:b/>
          <w:sz w:val="24"/>
        </w:rPr>
        <w:t>4</w:t>
      </w:r>
      <w:r w:rsidR="009B177B" w:rsidRPr="009B177B">
        <w:rPr>
          <w:b/>
          <w:sz w:val="24"/>
          <w:vertAlign w:val="superscript"/>
        </w:rPr>
        <w:t>th</w:t>
      </w:r>
      <w:r w:rsidR="009B177B">
        <w:rPr>
          <w:b/>
          <w:sz w:val="24"/>
        </w:rPr>
        <w:t xml:space="preserve"> </w:t>
      </w:r>
      <w:r>
        <w:rPr>
          <w:b/>
          <w:sz w:val="24"/>
        </w:rPr>
        <w:t xml:space="preserve">day of </w:t>
      </w:r>
      <w:r w:rsidR="009B177B">
        <w:rPr>
          <w:b/>
          <w:sz w:val="24"/>
        </w:rPr>
        <w:t>April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497F27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497F27"/>
    <w:rsid w:val="0071389D"/>
    <w:rsid w:val="009B177B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2011-04-04T11:34:00Z</cp:lastPrinted>
  <dcterms:created xsi:type="dcterms:W3CDTF">2011-04-04T11:35:00Z</dcterms:created>
  <dcterms:modified xsi:type="dcterms:W3CDTF">2011-04-04T11:35:00Z</dcterms:modified>
</cp:coreProperties>
</file>